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C" w:rsidRDefault="00C162C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PERFIL DE HOGARES SEGÚN NSE</w:t>
      </w:r>
      <w:r w:rsidR="002B7E3B">
        <w:rPr>
          <w:b/>
          <w:u w:val="single"/>
        </w:rPr>
        <w:t xml:space="preserve"> (PERÚ</w:t>
      </w:r>
      <w:r w:rsidR="00C56A09">
        <w:rPr>
          <w:b/>
          <w:u w:val="single"/>
        </w:rPr>
        <w:t>:</w:t>
      </w:r>
      <w:r w:rsidR="002B7E3B">
        <w:rPr>
          <w:b/>
          <w:u w:val="single"/>
        </w:rPr>
        <w:t xml:space="preserve"> URBANO Y RURAL)</w:t>
      </w:r>
    </w:p>
    <w:p w:rsidR="00EA558A" w:rsidRDefault="00F9029A" w:rsidP="00237185">
      <w:pPr>
        <w:pStyle w:val="Prrafodelista"/>
        <w:numPr>
          <w:ilvl w:val="0"/>
          <w:numId w:val="1"/>
        </w:numPr>
      </w:pPr>
      <w:r>
        <w:t>Porcentaje perteneciente al</w:t>
      </w:r>
      <w:r w:rsidR="00EA558A">
        <w:t xml:space="preserve"> NSE B: 11.65%</w:t>
      </w:r>
    </w:p>
    <w:p w:rsidR="007A6ADA" w:rsidRDefault="00C50CD2" w:rsidP="00EA558A">
      <w:pPr>
        <w:pStyle w:val="Prrafodelista"/>
        <w:numPr>
          <w:ilvl w:val="1"/>
          <w:numId w:val="1"/>
        </w:numPr>
      </w:pPr>
      <w:r>
        <w:t xml:space="preserve">Nº de hogares: 11.7% </w:t>
      </w:r>
    </w:p>
    <w:p w:rsidR="00C50CD2" w:rsidRDefault="00C50CD2" w:rsidP="00EA558A">
      <w:pPr>
        <w:pStyle w:val="Prrafodelista"/>
        <w:numPr>
          <w:ilvl w:val="1"/>
          <w:numId w:val="1"/>
        </w:numPr>
      </w:pPr>
      <w:r>
        <w:t>Nº de personas:</w:t>
      </w:r>
      <w:r w:rsidR="007A6ADA">
        <w:t xml:space="preserve"> 11.6</w:t>
      </w:r>
      <w:r>
        <w:t xml:space="preserve">% </w:t>
      </w:r>
    </w:p>
    <w:p w:rsidR="00CD56EE" w:rsidRDefault="00C50CD2" w:rsidP="00F9029A">
      <w:pPr>
        <w:pStyle w:val="Prrafodelista"/>
        <w:numPr>
          <w:ilvl w:val="0"/>
          <w:numId w:val="1"/>
        </w:numPr>
      </w:pPr>
      <w:r>
        <w:t>Departamentos con mayor población de NSE B:</w:t>
      </w:r>
      <w:r w:rsidR="00EA558A">
        <w:t xml:space="preserve"> (promedio según </w:t>
      </w:r>
      <w:r w:rsidR="00CD56EE">
        <w:t>Nº de hogares</w:t>
      </w:r>
      <w:r w:rsidR="00EA558A">
        <w:t xml:space="preserve"> y </w:t>
      </w:r>
      <w:r w:rsidR="00CD56EE">
        <w:t>personas</w:t>
      </w:r>
      <w:r w:rsidR="00EA558A">
        <w:t>)</w:t>
      </w:r>
      <w:r w:rsidR="00D908ED">
        <w:t>:</w:t>
      </w:r>
    </w:p>
    <w:p w:rsidR="00EA558A" w:rsidRDefault="00EA558A" w:rsidP="00F9029A">
      <w:pPr>
        <w:pStyle w:val="Prrafodelista"/>
        <w:numPr>
          <w:ilvl w:val="1"/>
          <w:numId w:val="1"/>
        </w:numPr>
      </w:pPr>
      <w:r>
        <w:t>Lima Metropolitana: 22%</w:t>
      </w:r>
    </w:p>
    <w:p w:rsidR="00EA558A" w:rsidRDefault="00EA558A" w:rsidP="00F9029A">
      <w:pPr>
        <w:pStyle w:val="Prrafodelista"/>
        <w:numPr>
          <w:ilvl w:val="1"/>
          <w:numId w:val="1"/>
        </w:numPr>
      </w:pPr>
      <w:r>
        <w:t>Moquegua: 21.25%</w:t>
      </w:r>
    </w:p>
    <w:p w:rsidR="00EA558A" w:rsidRDefault="00EA558A" w:rsidP="00F9029A">
      <w:pPr>
        <w:pStyle w:val="Prrafodelista"/>
        <w:numPr>
          <w:ilvl w:val="1"/>
          <w:numId w:val="1"/>
        </w:numPr>
      </w:pPr>
      <w:r>
        <w:t>Arequipa: 19.15%</w:t>
      </w:r>
    </w:p>
    <w:p w:rsidR="00EA558A" w:rsidRDefault="00EA558A" w:rsidP="00F9029A">
      <w:pPr>
        <w:pStyle w:val="Prrafodelista"/>
        <w:numPr>
          <w:ilvl w:val="1"/>
          <w:numId w:val="1"/>
        </w:numPr>
      </w:pPr>
      <w:r>
        <w:t>Tacna: 16.5%</w:t>
      </w:r>
    </w:p>
    <w:p w:rsidR="00EA558A" w:rsidRDefault="00EA558A" w:rsidP="00F9029A">
      <w:pPr>
        <w:pStyle w:val="Prrafodelista"/>
        <w:numPr>
          <w:ilvl w:val="1"/>
          <w:numId w:val="1"/>
        </w:numPr>
      </w:pPr>
      <w:r>
        <w:t>Ica: 13.3%</w:t>
      </w:r>
    </w:p>
    <w:p w:rsidR="00EA558A" w:rsidRDefault="00EA558A" w:rsidP="00F9029A">
      <w:pPr>
        <w:pStyle w:val="Prrafodelista"/>
        <w:numPr>
          <w:ilvl w:val="1"/>
          <w:numId w:val="1"/>
        </w:numPr>
      </w:pPr>
      <w:r>
        <w:t>Lambayeque: 10.65%</w:t>
      </w:r>
    </w:p>
    <w:p w:rsidR="00E479AF" w:rsidRDefault="00E479AF" w:rsidP="00237185">
      <w:pPr>
        <w:pStyle w:val="Prrafodelista"/>
        <w:numPr>
          <w:ilvl w:val="0"/>
          <w:numId w:val="1"/>
        </w:numPr>
      </w:pPr>
      <w:r>
        <w:t>Tipo de vivienda</w:t>
      </w:r>
      <w:r w:rsidR="00D908ED">
        <w:t>:</w:t>
      </w:r>
    </w:p>
    <w:p w:rsidR="00C50CD2" w:rsidRDefault="00C50CD2" w:rsidP="00C50CD2">
      <w:pPr>
        <w:pStyle w:val="Prrafodelista"/>
        <w:numPr>
          <w:ilvl w:val="1"/>
          <w:numId w:val="1"/>
        </w:numPr>
      </w:pPr>
      <w:r>
        <w:t>Casa independiente: 69.6%</w:t>
      </w:r>
    </w:p>
    <w:p w:rsidR="00C50CD2" w:rsidRDefault="00C50CD2" w:rsidP="00C50CD2">
      <w:pPr>
        <w:pStyle w:val="Prrafodelista"/>
        <w:numPr>
          <w:ilvl w:val="1"/>
          <w:numId w:val="1"/>
        </w:numPr>
      </w:pPr>
      <w:r>
        <w:t>Departamento en edificio: 27.3%</w:t>
      </w:r>
    </w:p>
    <w:p w:rsidR="007C46BF" w:rsidRDefault="007C46BF" w:rsidP="00C50CD2">
      <w:pPr>
        <w:pStyle w:val="Prrafodelista"/>
        <w:numPr>
          <w:ilvl w:val="1"/>
          <w:numId w:val="1"/>
        </w:numPr>
      </w:pPr>
      <w:r>
        <w:t>Otros: 3.1%</w:t>
      </w:r>
    </w:p>
    <w:p w:rsidR="00096BFE" w:rsidRDefault="00F9029A" w:rsidP="00237185">
      <w:pPr>
        <w:pStyle w:val="Prrafodelista"/>
        <w:numPr>
          <w:ilvl w:val="0"/>
          <w:numId w:val="1"/>
        </w:numPr>
      </w:pPr>
      <w:r>
        <w:t xml:space="preserve">Porcentaje de </w:t>
      </w:r>
      <w:r w:rsidR="00096BFE">
        <w:t>Hombres y mujeres que conforman este grupo:</w:t>
      </w:r>
    </w:p>
    <w:p w:rsidR="00096BFE" w:rsidRDefault="00096BFE" w:rsidP="00096BFE">
      <w:pPr>
        <w:pStyle w:val="Prrafodelista"/>
        <w:numPr>
          <w:ilvl w:val="1"/>
          <w:numId w:val="1"/>
        </w:numPr>
      </w:pPr>
      <w:r>
        <w:t>Hombres: 47.7%</w:t>
      </w:r>
    </w:p>
    <w:p w:rsidR="00096BFE" w:rsidRDefault="00096BFE" w:rsidP="00096BFE">
      <w:pPr>
        <w:pStyle w:val="Prrafodelista"/>
        <w:numPr>
          <w:ilvl w:val="1"/>
          <w:numId w:val="1"/>
        </w:numPr>
      </w:pPr>
      <w:r>
        <w:t>Mujeres: 52.3%</w:t>
      </w:r>
    </w:p>
    <w:p w:rsidR="00096BFE" w:rsidRDefault="00096BFE" w:rsidP="00096BFE">
      <w:pPr>
        <w:pStyle w:val="Prrafodelista"/>
        <w:numPr>
          <w:ilvl w:val="0"/>
          <w:numId w:val="1"/>
        </w:numPr>
      </w:pPr>
      <w:r>
        <w:t>Estado civil o conyugal:</w:t>
      </w:r>
    </w:p>
    <w:p w:rsidR="00096BFE" w:rsidRDefault="00096BFE" w:rsidP="00096BFE">
      <w:pPr>
        <w:pStyle w:val="Prrafodelista"/>
        <w:numPr>
          <w:ilvl w:val="1"/>
          <w:numId w:val="1"/>
        </w:numPr>
      </w:pPr>
      <w:r>
        <w:t>Casado: 40.1%</w:t>
      </w:r>
    </w:p>
    <w:p w:rsidR="00096BFE" w:rsidRDefault="00096BFE" w:rsidP="00096BFE">
      <w:pPr>
        <w:pStyle w:val="Prrafodelista"/>
        <w:numPr>
          <w:ilvl w:val="1"/>
          <w:numId w:val="1"/>
        </w:numPr>
      </w:pPr>
      <w:r>
        <w:t>Soltero: 38.3%</w:t>
      </w:r>
    </w:p>
    <w:p w:rsidR="00096BFE" w:rsidRDefault="00096BFE" w:rsidP="00096BFE">
      <w:pPr>
        <w:pStyle w:val="Prrafodelista"/>
        <w:numPr>
          <w:ilvl w:val="1"/>
          <w:numId w:val="1"/>
        </w:numPr>
      </w:pPr>
      <w:r>
        <w:t>Conviviente: 9.6%</w:t>
      </w:r>
    </w:p>
    <w:p w:rsidR="00096BFE" w:rsidRDefault="00096BFE" w:rsidP="00096BFE">
      <w:pPr>
        <w:pStyle w:val="Prrafodelista"/>
        <w:numPr>
          <w:ilvl w:val="1"/>
          <w:numId w:val="1"/>
        </w:numPr>
      </w:pPr>
      <w:r>
        <w:t xml:space="preserve">Otros: 12% </w:t>
      </w:r>
    </w:p>
    <w:p w:rsidR="00237185" w:rsidRDefault="00237185" w:rsidP="00237185">
      <w:pPr>
        <w:pStyle w:val="Prrafodelista"/>
        <w:numPr>
          <w:ilvl w:val="0"/>
          <w:numId w:val="1"/>
        </w:numPr>
      </w:pPr>
      <w:r>
        <w:t>Tipo de Seguro de Salud</w:t>
      </w:r>
      <w:r w:rsidR="00D908ED">
        <w:t>:</w:t>
      </w:r>
    </w:p>
    <w:p w:rsidR="00043E63" w:rsidRDefault="00043E63" w:rsidP="00043E63">
      <w:pPr>
        <w:pStyle w:val="Prrafodelista"/>
        <w:numPr>
          <w:ilvl w:val="1"/>
          <w:numId w:val="1"/>
        </w:numPr>
      </w:pPr>
      <w:r>
        <w:t>ESSALUD:</w:t>
      </w:r>
      <w:r w:rsidR="007D7E3E">
        <w:t xml:space="preserve"> 61.1%</w:t>
      </w:r>
    </w:p>
    <w:p w:rsidR="00096BFE" w:rsidRDefault="00096BFE" w:rsidP="00043E63">
      <w:pPr>
        <w:pStyle w:val="Prrafodelista"/>
        <w:numPr>
          <w:ilvl w:val="1"/>
          <w:numId w:val="1"/>
        </w:numPr>
      </w:pPr>
      <w:r>
        <w:t>Seguro FFAA-PNP: 8.2%</w:t>
      </w:r>
    </w:p>
    <w:p w:rsidR="00043E63" w:rsidRDefault="00043E63" w:rsidP="00043E63">
      <w:pPr>
        <w:pStyle w:val="Prrafodelista"/>
        <w:numPr>
          <w:ilvl w:val="1"/>
          <w:numId w:val="1"/>
        </w:numPr>
      </w:pPr>
      <w:r>
        <w:t>SPS (Seguro Privado de Salud)</w:t>
      </w:r>
      <w:r w:rsidR="007D7E3E">
        <w:t>: 7.3%</w:t>
      </w:r>
    </w:p>
    <w:p w:rsidR="00043E63" w:rsidRDefault="00043E63" w:rsidP="00043E63">
      <w:pPr>
        <w:pStyle w:val="Prrafodelista"/>
        <w:numPr>
          <w:ilvl w:val="1"/>
          <w:numId w:val="1"/>
        </w:numPr>
      </w:pPr>
      <w:r>
        <w:t>EPS (Entidad Prestadora de Salud):</w:t>
      </w:r>
      <w:r w:rsidR="007D7E3E">
        <w:t xml:space="preserve"> 5.7%</w:t>
      </w:r>
    </w:p>
    <w:p w:rsidR="00043E63" w:rsidRDefault="00043E63" w:rsidP="00043E63">
      <w:pPr>
        <w:pStyle w:val="Prrafodelista"/>
        <w:numPr>
          <w:ilvl w:val="1"/>
          <w:numId w:val="1"/>
        </w:numPr>
      </w:pPr>
      <w:r>
        <w:t>SIS (Seguro Integral de Salud):</w:t>
      </w:r>
      <w:r w:rsidR="007D7E3E">
        <w:t xml:space="preserve"> 5.2%</w:t>
      </w:r>
    </w:p>
    <w:p w:rsidR="00043E63" w:rsidRDefault="00096BFE" w:rsidP="00096BFE">
      <w:pPr>
        <w:pStyle w:val="Prrafodelista"/>
        <w:numPr>
          <w:ilvl w:val="1"/>
          <w:numId w:val="1"/>
        </w:numPr>
      </w:pPr>
      <w:r>
        <w:t>Otros: 1.8%</w:t>
      </w:r>
    </w:p>
    <w:p w:rsidR="00043E63" w:rsidRDefault="00043E63" w:rsidP="00043E63">
      <w:pPr>
        <w:pStyle w:val="Prrafodelista"/>
        <w:numPr>
          <w:ilvl w:val="1"/>
          <w:numId w:val="1"/>
        </w:numPr>
      </w:pPr>
      <w:r>
        <w:t>No afiliado:</w:t>
      </w:r>
      <w:r w:rsidR="007D7E3E">
        <w:t xml:space="preserve"> 20.6%</w:t>
      </w:r>
    </w:p>
    <w:p w:rsidR="00237185" w:rsidRDefault="00237185" w:rsidP="00237185">
      <w:pPr>
        <w:pStyle w:val="Prrafodelista"/>
        <w:numPr>
          <w:ilvl w:val="0"/>
          <w:numId w:val="1"/>
        </w:numPr>
      </w:pPr>
      <w:r>
        <w:t>Ingresos familiares prome</w:t>
      </w:r>
      <w:r w:rsidR="003B69EB">
        <w:t>dio:</w:t>
      </w:r>
      <w:r w:rsidR="00E31F29">
        <w:t xml:space="preserve"> S/. 6,374.00 </w:t>
      </w:r>
    </w:p>
    <w:p w:rsidR="00237185" w:rsidRDefault="00237185" w:rsidP="00237185">
      <w:pPr>
        <w:pStyle w:val="Prrafodelista"/>
        <w:numPr>
          <w:ilvl w:val="0"/>
          <w:numId w:val="1"/>
        </w:numPr>
      </w:pPr>
      <w:r>
        <w:t>Gastos familiares pro</w:t>
      </w:r>
      <w:r w:rsidR="003B69EB">
        <w:t>medio:</w:t>
      </w:r>
      <w:r w:rsidR="00E31F29">
        <w:t xml:space="preserve"> S/. 4,643.00 </w:t>
      </w:r>
    </w:p>
    <w:p w:rsidR="00153ADC" w:rsidRDefault="00153ADC" w:rsidP="00153ADC">
      <w:pPr>
        <w:pStyle w:val="Prrafodelista"/>
        <w:numPr>
          <w:ilvl w:val="1"/>
          <w:numId w:val="1"/>
        </w:numPr>
      </w:pPr>
      <w:r>
        <w:t>Alimentación: 28%</w:t>
      </w:r>
    </w:p>
    <w:p w:rsidR="00153ADC" w:rsidRDefault="00153ADC" w:rsidP="00153ADC">
      <w:pPr>
        <w:pStyle w:val="Prrafodelista"/>
        <w:numPr>
          <w:ilvl w:val="1"/>
          <w:numId w:val="1"/>
        </w:numPr>
      </w:pPr>
      <w:r>
        <w:t>Educación: 16%</w:t>
      </w:r>
    </w:p>
    <w:p w:rsidR="00153ADC" w:rsidRDefault="00153ADC" w:rsidP="00153ADC">
      <w:pPr>
        <w:pStyle w:val="Prrafodelista"/>
        <w:numPr>
          <w:ilvl w:val="1"/>
          <w:numId w:val="1"/>
        </w:numPr>
      </w:pPr>
      <w:r>
        <w:t>Transporte: 16%</w:t>
      </w:r>
    </w:p>
    <w:p w:rsidR="00153ADC" w:rsidRDefault="00153ADC" w:rsidP="00153ADC">
      <w:pPr>
        <w:pStyle w:val="Prrafodelista"/>
        <w:numPr>
          <w:ilvl w:val="1"/>
          <w:numId w:val="1"/>
        </w:numPr>
      </w:pPr>
      <w:r>
        <w:t>Vivienda: 12%</w:t>
      </w:r>
    </w:p>
    <w:p w:rsidR="00153ADC" w:rsidRDefault="00153ADC" w:rsidP="00153ADC">
      <w:pPr>
        <w:pStyle w:val="Prrafodelista"/>
        <w:numPr>
          <w:ilvl w:val="1"/>
          <w:numId w:val="1"/>
        </w:numPr>
      </w:pPr>
      <w:r>
        <w:t>Muebles:</w:t>
      </w:r>
      <w:r w:rsidR="00F609C6">
        <w:t xml:space="preserve"> 8%</w:t>
      </w:r>
    </w:p>
    <w:p w:rsidR="00153ADC" w:rsidRDefault="00153ADC" w:rsidP="00153ADC">
      <w:pPr>
        <w:pStyle w:val="Prrafodelista"/>
        <w:numPr>
          <w:ilvl w:val="1"/>
          <w:numId w:val="1"/>
        </w:numPr>
      </w:pPr>
      <w:r>
        <w:t>Salud:</w:t>
      </w:r>
      <w:r w:rsidR="00F609C6">
        <w:t xml:space="preserve"> 7%</w:t>
      </w:r>
    </w:p>
    <w:p w:rsidR="00153ADC" w:rsidRDefault="00153ADC" w:rsidP="00153ADC">
      <w:pPr>
        <w:pStyle w:val="Prrafodelista"/>
        <w:numPr>
          <w:ilvl w:val="1"/>
          <w:numId w:val="1"/>
        </w:numPr>
      </w:pPr>
      <w:r>
        <w:t>Vestido:</w:t>
      </w:r>
      <w:r w:rsidR="00F609C6">
        <w:t xml:space="preserve"> 6%</w:t>
      </w:r>
    </w:p>
    <w:p w:rsidR="00153ADC" w:rsidRDefault="00153ADC" w:rsidP="00153ADC">
      <w:pPr>
        <w:pStyle w:val="Prrafodelista"/>
        <w:numPr>
          <w:ilvl w:val="1"/>
          <w:numId w:val="1"/>
        </w:numPr>
      </w:pPr>
      <w:r>
        <w:t>Otros:</w:t>
      </w:r>
      <w:r w:rsidR="00F609C6">
        <w:t xml:space="preserve"> 7%</w:t>
      </w:r>
    </w:p>
    <w:p w:rsidR="00237185" w:rsidRDefault="00EE0845" w:rsidP="00237185">
      <w:pPr>
        <w:pStyle w:val="Prrafodelista"/>
        <w:numPr>
          <w:ilvl w:val="0"/>
          <w:numId w:val="1"/>
        </w:numPr>
      </w:pPr>
      <w:r>
        <w:t xml:space="preserve">Características de </w:t>
      </w:r>
      <w:r w:rsidR="00237185">
        <w:t>Vivienda, Bienes y Servicios básicos</w:t>
      </w:r>
      <w:r w:rsidR="00D908ED">
        <w:t>:</w:t>
      </w:r>
    </w:p>
    <w:p w:rsidR="00D908ED" w:rsidRDefault="00D908ED" w:rsidP="00D908ED">
      <w:pPr>
        <w:pStyle w:val="Prrafodelista"/>
        <w:numPr>
          <w:ilvl w:val="1"/>
          <w:numId w:val="1"/>
        </w:numPr>
      </w:pPr>
      <w:r>
        <w:t>Agua</w:t>
      </w:r>
      <w:r w:rsidR="00243CB5">
        <w:t xml:space="preserve"> (</w:t>
      </w:r>
      <w:r>
        <w:t>red pública dentro de la vivienda</w:t>
      </w:r>
      <w:r w:rsidR="00243CB5">
        <w:t>)</w:t>
      </w:r>
      <w:r>
        <w:t>: 97.5%</w:t>
      </w:r>
    </w:p>
    <w:p w:rsidR="00D908ED" w:rsidRDefault="000B2FF7" w:rsidP="00D908ED">
      <w:pPr>
        <w:pStyle w:val="Prrafodelista"/>
        <w:numPr>
          <w:ilvl w:val="1"/>
          <w:numId w:val="1"/>
        </w:numPr>
      </w:pPr>
      <w:r>
        <w:lastRenderedPageBreak/>
        <w:t>Desagüe</w:t>
      </w:r>
      <w:r w:rsidR="00243CB5">
        <w:t xml:space="preserve"> (</w:t>
      </w:r>
      <w:r w:rsidR="00D908ED">
        <w:t>red pública dentro de la vivienda</w:t>
      </w:r>
      <w:r w:rsidR="00243CB5">
        <w:t>)</w:t>
      </w:r>
      <w:r w:rsidR="00D908ED">
        <w:t>: 98.9%</w:t>
      </w:r>
    </w:p>
    <w:p w:rsidR="00D908ED" w:rsidRDefault="00D908ED" w:rsidP="00D908ED">
      <w:pPr>
        <w:pStyle w:val="Prrafodelista"/>
        <w:numPr>
          <w:ilvl w:val="1"/>
          <w:numId w:val="1"/>
        </w:numPr>
      </w:pPr>
      <w:r>
        <w:t>Electricidad:</w:t>
      </w:r>
      <w:r w:rsidR="00243CB5">
        <w:t xml:space="preserve"> 99.9%</w:t>
      </w:r>
    </w:p>
    <w:p w:rsidR="00D908ED" w:rsidRDefault="00243CB5" w:rsidP="00D908ED">
      <w:pPr>
        <w:pStyle w:val="Prrafodelista"/>
        <w:numPr>
          <w:ilvl w:val="1"/>
          <w:numId w:val="1"/>
        </w:numPr>
      </w:pPr>
      <w:r>
        <w:t xml:space="preserve">Teléfono fijo en el hogar: 75.7%  </w:t>
      </w:r>
    </w:p>
    <w:p w:rsidR="00243CB5" w:rsidRDefault="00243CB5" w:rsidP="00D908ED">
      <w:pPr>
        <w:pStyle w:val="Prrafodelista"/>
        <w:numPr>
          <w:ilvl w:val="1"/>
          <w:numId w:val="1"/>
        </w:numPr>
      </w:pPr>
      <w:r>
        <w:t>Internet en el hogar: 76.5%</w:t>
      </w:r>
    </w:p>
    <w:p w:rsidR="00243CB5" w:rsidRDefault="00243CB5" w:rsidP="00D908ED">
      <w:pPr>
        <w:pStyle w:val="Prrafodelista"/>
        <w:numPr>
          <w:ilvl w:val="1"/>
          <w:numId w:val="1"/>
        </w:numPr>
      </w:pPr>
      <w:r>
        <w:t>TV, cable en el hogar: 80.0%</w:t>
      </w:r>
    </w:p>
    <w:p w:rsidR="00780A8E" w:rsidRDefault="00780A8E" w:rsidP="00D908ED">
      <w:pPr>
        <w:pStyle w:val="Prrafodelista"/>
        <w:numPr>
          <w:ilvl w:val="1"/>
          <w:numId w:val="1"/>
        </w:numPr>
      </w:pPr>
      <w:r>
        <w:t>Electrodomésticos: + del 50%</w:t>
      </w:r>
    </w:p>
    <w:p w:rsidR="00237185" w:rsidRDefault="00237185" w:rsidP="00237185">
      <w:pPr>
        <w:pStyle w:val="Prrafodelista"/>
        <w:numPr>
          <w:ilvl w:val="0"/>
          <w:numId w:val="1"/>
        </w:numPr>
      </w:pPr>
      <w:r>
        <w:t>Medio de Transporte</w:t>
      </w:r>
      <w:r w:rsidR="00D908ED">
        <w:t>:</w:t>
      </w:r>
    </w:p>
    <w:p w:rsidR="002F74E6" w:rsidRDefault="002F74E6" w:rsidP="00323B7F">
      <w:pPr>
        <w:pStyle w:val="Prrafodelista"/>
        <w:numPr>
          <w:ilvl w:val="1"/>
          <w:numId w:val="1"/>
        </w:numPr>
      </w:pPr>
      <w:r>
        <w:t>Público: 59.1%</w:t>
      </w:r>
    </w:p>
    <w:p w:rsidR="00D84A03" w:rsidRPr="002F74E6" w:rsidRDefault="002F74E6" w:rsidP="00C56A09">
      <w:pPr>
        <w:pStyle w:val="Prrafodelista"/>
        <w:numPr>
          <w:ilvl w:val="1"/>
          <w:numId w:val="1"/>
        </w:numPr>
        <w:rPr>
          <w:b/>
          <w:u w:val="single"/>
        </w:rPr>
      </w:pPr>
      <w:r>
        <w:t>Privado (a</w:t>
      </w:r>
      <w:r w:rsidR="00323B7F">
        <w:t>uto</w:t>
      </w:r>
      <w:r>
        <w:t>)</w:t>
      </w:r>
      <w:r w:rsidR="00323B7F">
        <w:t>: 40.9%</w:t>
      </w:r>
    </w:p>
    <w:sectPr w:rsidR="00D84A03" w:rsidRPr="002F7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6AC1"/>
    <w:multiLevelType w:val="hybridMultilevel"/>
    <w:tmpl w:val="7D6AD2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1CBB"/>
    <w:multiLevelType w:val="hybridMultilevel"/>
    <w:tmpl w:val="33F489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CB5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E"/>
    <w:rsid w:val="00020F34"/>
    <w:rsid w:val="00043E63"/>
    <w:rsid w:val="00096BFE"/>
    <w:rsid w:val="000A67FE"/>
    <w:rsid w:val="000B2FF7"/>
    <w:rsid w:val="00153ADC"/>
    <w:rsid w:val="001B450B"/>
    <w:rsid w:val="00237185"/>
    <w:rsid w:val="00243CB5"/>
    <w:rsid w:val="002B7E3B"/>
    <w:rsid w:val="002E1DBE"/>
    <w:rsid w:val="002F74E6"/>
    <w:rsid w:val="00323B7F"/>
    <w:rsid w:val="003939F8"/>
    <w:rsid w:val="003B69EB"/>
    <w:rsid w:val="00780A8E"/>
    <w:rsid w:val="007A6ADA"/>
    <w:rsid w:val="007C46BF"/>
    <w:rsid w:val="007D7E3E"/>
    <w:rsid w:val="00A87644"/>
    <w:rsid w:val="00C162CF"/>
    <w:rsid w:val="00C50CD2"/>
    <w:rsid w:val="00C56A09"/>
    <w:rsid w:val="00C7763C"/>
    <w:rsid w:val="00CD56EE"/>
    <w:rsid w:val="00D84A03"/>
    <w:rsid w:val="00D908ED"/>
    <w:rsid w:val="00E208AF"/>
    <w:rsid w:val="00E2559A"/>
    <w:rsid w:val="00E31F29"/>
    <w:rsid w:val="00E479AF"/>
    <w:rsid w:val="00EA558A"/>
    <w:rsid w:val="00EE0845"/>
    <w:rsid w:val="00F3212C"/>
    <w:rsid w:val="00F609C6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taboa_000</dc:creator>
  <cp:lastModifiedBy>taboa_000</cp:lastModifiedBy>
  <cp:revision>2</cp:revision>
  <dcterms:created xsi:type="dcterms:W3CDTF">2016-09-29T18:55:00Z</dcterms:created>
  <dcterms:modified xsi:type="dcterms:W3CDTF">2016-09-29T18:55:00Z</dcterms:modified>
</cp:coreProperties>
</file>